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AF528" w14:textId="2B0F3372" w:rsidR="004057F8" w:rsidRPr="00A7366F" w:rsidRDefault="004057F8" w:rsidP="004057F8">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7079E8">
        <w:rPr>
          <w:rFonts w:ascii="Calibri" w:eastAsia="PMingLiU" w:hAnsi="Calibri" w:cs="Calibri"/>
          <w:sz w:val="24"/>
          <w:szCs w:val="24"/>
          <w:lang w:eastAsia="ja-JP"/>
        </w:rPr>
        <w:t>6480</w:t>
      </w:r>
      <w:bookmarkStart w:id="0" w:name="_GoBack"/>
      <w:bookmarkEnd w:id="0"/>
    </w:p>
    <w:p w14:paraId="566BAB83" w14:textId="77777777" w:rsidR="004057F8" w:rsidRPr="00A7366F" w:rsidRDefault="004057F8" w:rsidP="004057F8">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0426E601" w14:textId="77777777" w:rsidR="002E58D2" w:rsidRPr="008446F7" w:rsidRDefault="002E58D2" w:rsidP="002E58D2">
      <w:pPr>
        <w:pStyle w:val="a5"/>
        <w:rPr>
          <w:rFonts w:ascii="Calibri" w:eastAsia="PMingLiU" w:hAnsi="Calibri"/>
          <w:sz w:val="24"/>
          <w:highlight w:val="yellow"/>
          <w:lang w:eastAsia="zh-TW"/>
        </w:rPr>
      </w:pPr>
    </w:p>
    <w:p w14:paraId="6352570E" w14:textId="2374D084" w:rsidR="00FB1EA3" w:rsidRPr="00F52EE4" w:rsidRDefault="00FB1EA3" w:rsidP="00FB1EA3">
      <w:pPr>
        <w:ind w:left="1985" w:hanging="1985"/>
        <w:rPr>
          <w:rFonts w:cs="Arial"/>
          <w:b/>
          <w:bCs/>
        </w:rPr>
      </w:pPr>
      <w:r w:rsidRPr="00B60868">
        <w:rPr>
          <w:rFonts w:cs="Arial"/>
          <w:b/>
          <w:bCs/>
        </w:rPr>
        <w:t>Agenda Item:</w:t>
      </w:r>
      <w:r w:rsidRPr="00B60868">
        <w:rPr>
          <w:rFonts w:cs="Arial"/>
          <w:b/>
          <w:bCs/>
        </w:rPr>
        <w:tab/>
      </w:r>
      <w:r w:rsidR="0001556B" w:rsidRPr="00B60868">
        <w:rPr>
          <w:rFonts w:cs="Arial"/>
          <w:b/>
          <w:bCs/>
        </w:rPr>
        <w:t>1</w:t>
      </w:r>
      <w:r w:rsidR="006F7CED">
        <w:rPr>
          <w:rFonts w:cs="Arial"/>
          <w:b/>
          <w:bCs/>
        </w:rPr>
        <w:t>4</w:t>
      </w:r>
      <w:r w:rsidR="0001556B" w:rsidRPr="00B60868">
        <w:rPr>
          <w:rFonts w:cs="Arial"/>
          <w:b/>
          <w:bCs/>
        </w:rPr>
        <w:t>.2.4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29E1933A" w14:textId="01547210" w:rsidR="00595AA2" w:rsidRPr="006D696C" w:rsidRDefault="00595AA2" w:rsidP="00595AA2">
      <w:pPr>
        <w:pStyle w:val="af0"/>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4D16A678" w:rsidR="00AD2CAD" w:rsidRPr="006D696C"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p>
    <w:p w14:paraId="15570B2A" w14:textId="54018410" w:rsidR="00486D1A" w:rsidRDefault="009B0081" w:rsidP="0001556B">
      <w:pPr>
        <w:pStyle w:val="1"/>
        <w:numPr>
          <w:ilvl w:val="0"/>
          <w:numId w:val="1"/>
        </w:numPr>
        <w:rPr>
          <w:rFonts w:ascii="Calibri" w:hAnsi="Calibri"/>
        </w:rPr>
      </w:pPr>
      <w:r>
        <w:rPr>
          <w:rFonts w:ascii="Calibri" w:hAnsi="Calibri"/>
        </w:rPr>
        <w:t>Justifications</w:t>
      </w:r>
    </w:p>
    <w:p w14:paraId="7A5D7127" w14:textId="00B2E366" w:rsidR="007C40CD" w:rsidRDefault="009B0081" w:rsidP="009B0081">
      <w:pPr>
        <w:pStyle w:val="2"/>
      </w:pPr>
      <w:r>
        <w:t xml:space="preserve">2.1 </w:t>
      </w:r>
      <w:r w:rsidR="00B60868">
        <w:t xml:space="preserve">Active </w:t>
      </w:r>
      <w:r w:rsidR="000D327D">
        <w:t xml:space="preserve">TCI-state switch for CSI reporting via </w:t>
      </w:r>
      <w:r>
        <w:t xml:space="preserve">CSI-RS </w:t>
      </w:r>
      <w:r w:rsidR="000D327D">
        <w:t xml:space="preserve">reconfiguration </w:t>
      </w:r>
    </w:p>
    <w:p w14:paraId="6D03FD88" w14:textId="2B363FCF"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w:t>
      </w:r>
      <w:r w:rsidR="00B60868">
        <w:rPr>
          <w:sz w:val="20"/>
          <w:szCs w:val="20"/>
          <w:lang w:val="en-GB" w:eastAsia="en-US"/>
        </w:rPr>
        <w:t xml:space="preserve">active </w:t>
      </w:r>
      <w:r w:rsidR="00580A8D" w:rsidRPr="006D696C">
        <w:rPr>
          <w:sz w:val="20"/>
          <w:szCs w:val="20"/>
          <w:lang w:val="en-GB" w:eastAsia="en-US"/>
        </w:rPr>
        <w:t xml:space="preserve">TCI-state switch requirements </w:t>
      </w:r>
      <w:r w:rsidRPr="006D696C">
        <w:rPr>
          <w:sz w:val="20"/>
          <w:szCs w:val="20"/>
          <w:lang w:val="en-GB" w:eastAsia="en-US"/>
        </w:rPr>
        <w:t xml:space="preserve">for CSI reporting </w:t>
      </w:r>
      <w:r w:rsidR="00B60868">
        <w:rPr>
          <w:sz w:val="20"/>
          <w:szCs w:val="20"/>
          <w:lang w:val="en-GB" w:eastAsia="en-US"/>
        </w:rPr>
        <w:t>via</w:t>
      </w:r>
      <w:r w:rsidR="00B60868" w:rsidRPr="006D696C">
        <w:rPr>
          <w:sz w:val="20"/>
          <w:szCs w:val="20"/>
          <w:lang w:val="en-GB" w:eastAsia="en-US"/>
        </w:rPr>
        <w:t xml:space="preserve"> CSI-RS </w:t>
      </w:r>
      <w:r w:rsidR="001232F5">
        <w:rPr>
          <w:sz w:val="20"/>
          <w:szCs w:val="20"/>
          <w:lang w:val="en-GB" w:eastAsia="en-US"/>
        </w:rPr>
        <w:t xml:space="preserve">reconfiguration </w:t>
      </w:r>
      <w:r w:rsidRPr="006D696C">
        <w:rPr>
          <w:sz w:val="20"/>
          <w:szCs w:val="20"/>
          <w:lang w:val="en-GB" w:eastAsia="en-US"/>
        </w:rPr>
        <w:t xml:space="preserve">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4FB8D507" w:rsidR="00D5310D" w:rsidRPr="006D696C"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451134" w:rsidRPr="00451134">
        <w:rPr>
          <w:sz w:val="20"/>
          <w:szCs w:val="20"/>
        </w:rPr>
        <w:t xml:space="preserve">Figure </w:t>
      </w:r>
      <w:r w:rsidR="00451134" w:rsidRPr="00451134">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af0"/>
        <w:jc w:val="center"/>
        <w:rPr>
          <w:lang w:val="en-GB" w:eastAsia="en-US"/>
        </w:rPr>
      </w:pPr>
      <w:bookmarkStart w:id="1"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1</w:t>
      </w:r>
      <w:r w:rsidR="00387496">
        <w:rPr>
          <w:noProof/>
        </w:rPr>
        <w:fldChar w:fldCharType="end"/>
      </w:r>
      <w:bookmarkEnd w:id="1"/>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24BBE5E4" w14:textId="00D14909" w:rsidR="00CD13A7" w:rsidRPr="006D696C" w:rsidRDefault="00CD13A7" w:rsidP="00CD13A7">
      <w:pPr>
        <w:pStyle w:val="af0"/>
        <w:rPr>
          <w:rFonts w:eastAsia="PMingLiU"/>
          <w:lang w:eastAsia="zh-TW"/>
        </w:rPr>
      </w:pPr>
      <w:r w:rsidRPr="006D696C">
        <w:rPr>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Pr>
          <w:lang w:val="en-GB" w:eastAsia="en-US"/>
        </w:rPr>
        <w:t xml:space="preserve">the TCI-sate switch for </w:t>
      </w:r>
      <w:r w:rsidRPr="006D696C">
        <w:rPr>
          <w:lang w:val="en-GB" w:eastAsia="en-US"/>
        </w:rPr>
        <w:t xml:space="preserve">PDSCH, PDCCH and CSI-RS. </w:t>
      </w:r>
      <w:r w:rsidR="00A847A8">
        <w:rPr>
          <w:lang w:val="en-GB" w:eastAsia="en-US"/>
        </w:rPr>
        <w:t xml:space="preserve">The active TCI state switch may consider either configuring a </w:t>
      </w:r>
      <w:r w:rsidR="00A847A8" w:rsidRPr="00A847A8">
        <w:rPr>
          <w:lang w:val="en-GB" w:eastAsia="en-US"/>
        </w:rPr>
        <w:t xml:space="preserve">TCI state for the same CSI-RS for CQI </w:t>
      </w:r>
      <w:r w:rsidR="00A847A8">
        <w:rPr>
          <w:lang w:val="en-GB" w:eastAsia="en-US"/>
        </w:rPr>
        <w:t>or configuring</w:t>
      </w:r>
      <w:r w:rsidR="00A847A8" w:rsidRPr="00A847A8">
        <w:rPr>
          <w:lang w:val="en-GB" w:eastAsia="en-US"/>
        </w:rPr>
        <w:tab/>
      </w:r>
      <w:r w:rsidR="000C4109">
        <w:rPr>
          <w:lang w:val="en-GB" w:eastAsia="en-US"/>
        </w:rPr>
        <w:t xml:space="preserve"> </w:t>
      </w:r>
      <w:r w:rsidR="00A847A8">
        <w:rPr>
          <w:lang w:val="en-GB" w:eastAsia="en-US"/>
        </w:rPr>
        <w:t>n</w:t>
      </w:r>
      <w:r w:rsidR="00A847A8" w:rsidRPr="00A847A8">
        <w:rPr>
          <w:lang w:val="en-GB" w:eastAsia="en-US"/>
        </w:rPr>
        <w:t>ew CSI-RS with new TCI state to replace the previous CSI-RS</w:t>
      </w:r>
      <w:r w:rsidR="00A847A8">
        <w:rPr>
          <w:lang w:val="en-GB" w:eastAsia="en-US"/>
        </w:rPr>
        <w:t>.</w:t>
      </w:r>
      <w:bookmarkStart w:id="2" w:name="_Ref31828127"/>
      <w:r w:rsidRPr="006D696C">
        <w:t xml:space="preserve">Scope </w:t>
      </w:r>
      <w:r w:rsidRPr="006D696C">
        <w:fldChar w:fldCharType="begin"/>
      </w:r>
      <w:r w:rsidRPr="006D696C">
        <w:instrText xml:space="preserve"> SEQ Scope \* ARABIC </w:instrText>
      </w:r>
      <w:r w:rsidRPr="006D696C">
        <w:fldChar w:fldCharType="separate"/>
      </w:r>
      <w:r w:rsidR="00451134">
        <w:rPr>
          <w:noProof/>
        </w:rPr>
        <w:t>1</w:t>
      </w:r>
      <w:r w:rsidRPr="006D696C">
        <w:fldChar w:fldCharType="end"/>
      </w:r>
      <w:r w:rsidRPr="006D696C">
        <w:t xml:space="preserve">: </w:t>
      </w:r>
      <w:r w:rsidRPr="006D696C">
        <w:rPr>
          <w:rFonts w:eastAsia="PMingLiU" w:hint="eastAsia"/>
          <w:lang w:eastAsia="zh-TW"/>
        </w:rPr>
        <w:t>In</w:t>
      </w:r>
      <w:r w:rsidRPr="006D696C">
        <w:rPr>
          <w:rFonts w:eastAsia="PMingLiU"/>
          <w:lang w:eastAsia="zh-TW"/>
        </w:rPr>
        <w:t xml:space="preserve">troduce UE requirements for </w:t>
      </w:r>
      <w:r w:rsidRPr="006D696C">
        <w:rPr>
          <w:rFonts w:eastAsia="PMingLiU"/>
          <w:lang w:val="en-US" w:eastAsia="zh-TW"/>
        </w:rPr>
        <w:t>TCI state switch for CSI reporting</w:t>
      </w:r>
      <w:r w:rsidR="00B60868">
        <w:rPr>
          <w:rFonts w:eastAsia="PMingLiU"/>
          <w:lang w:val="en-US" w:eastAsia="zh-TW"/>
        </w:rPr>
        <w:t xml:space="preserve"> via </w:t>
      </w:r>
      <w:r w:rsidR="00B60868" w:rsidRPr="006D696C">
        <w:rPr>
          <w:rFonts w:eastAsia="PMingLiU"/>
          <w:lang w:val="en-US" w:eastAsia="zh-TW"/>
        </w:rPr>
        <w:t>CSI-RS</w:t>
      </w:r>
      <w:r w:rsidR="008F4EA7">
        <w:rPr>
          <w:rFonts w:eastAsia="PMingLiU"/>
          <w:lang w:val="en-US" w:eastAsia="zh-TW"/>
        </w:rPr>
        <w:t xml:space="preserve"> reconfiguration</w:t>
      </w:r>
      <w:r w:rsidRPr="006D696C">
        <w:rPr>
          <w:rFonts w:eastAsia="PMingLiU"/>
          <w:lang w:val="en-US" w:eastAsia="zh-TW"/>
        </w:rPr>
        <w:t>.</w:t>
      </w:r>
      <w:bookmarkEnd w:id="2"/>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rPr>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af4"/>
        <w:tblW w:w="0" w:type="auto"/>
        <w:tblInd w:w="1129" w:type="dxa"/>
        <w:tblLook w:val="04A0" w:firstRow="1" w:lastRow="0" w:firstColumn="1" w:lastColumn="0" w:noHBand="0" w:noVBand="1"/>
      </w:tblPr>
      <w:tblGrid>
        <w:gridCol w:w="7371"/>
      </w:tblGrid>
      <w:tr w:rsidR="00EE3294" w14:paraId="3A8EC304" w14:textId="77777777" w:rsidTr="00EE3294">
        <w:tc>
          <w:tcPr>
            <w:tcW w:w="7371" w:type="dxa"/>
          </w:tcPr>
          <w:p w14:paraId="67B7FCB1" w14:textId="77777777" w:rsidR="00EE3294" w:rsidRPr="006D696C" w:rsidRDefault="00EE3294" w:rsidP="00EE3294">
            <w:pPr>
              <w:pStyle w:val="TAL"/>
              <w:spacing w:after="60"/>
              <w:rPr>
                <w:b/>
                <w:i/>
                <w:sz w:val="16"/>
              </w:rPr>
            </w:pPr>
            <w:r w:rsidRPr="006D696C">
              <w:rPr>
                <w:b/>
                <w:i/>
                <w:sz w:val="16"/>
              </w:rPr>
              <w:lastRenderedPageBreak/>
              <w:t>SRS-TxSwitch</w:t>
            </w:r>
          </w:p>
          <w:p w14:paraId="18660B9D" w14:textId="77777777" w:rsidR="00EE3294" w:rsidRPr="006D696C" w:rsidRDefault="00EE3294" w:rsidP="00EE3294">
            <w:pPr>
              <w:pStyle w:val="TAL"/>
              <w:spacing w:after="60"/>
              <w:rPr>
                <w:sz w:val="16"/>
              </w:rPr>
            </w:pPr>
            <w:r w:rsidRPr="006D696C">
              <w:rPr>
                <w:sz w:val="16"/>
              </w:rPr>
              <w:t>Defines whether UE supports SRS antenna port switching as defined in clause 6.2.1.2 of TS 38.214 [12]. The capability signalling comprises of the following parameters:</w:t>
            </w:r>
          </w:p>
          <w:p w14:paraId="1DD83C6F"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rPr>
              <w:t>supportedSRS-TxPortSwitch</w:t>
            </w:r>
            <w:r w:rsidRPr="006D696C">
              <w:rPr>
                <w:rFonts w:ascii="Arial" w:hAnsi="Arial" w:cs="Arial"/>
                <w:sz w:val="16"/>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B934339"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yellow"/>
              </w:rPr>
              <w:t>txSwitchImpactToRx</w:t>
            </w:r>
            <w:r w:rsidRPr="006D696C">
              <w:rPr>
                <w:rFonts w:ascii="Arial" w:hAnsi="Arial" w:cs="Arial"/>
                <w:sz w:val="16"/>
                <w:szCs w:val="18"/>
              </w:rPr>
              <w:t xml:space="preserve"> indicates the entry number of the first-listed band with UL in the band combination that affects this DL;</w:t>
            </w:r>
          </w:p>
          <w:p w14:paraId="2B868D77"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green"/>
              </w:rPr>
              <w:t>txSwitchWithAnotherBand</w:t>
            </w:r>
            <w:r w:rsidRPr="006D696C">
              <w:rPr>
                <w:rFonts w:ascii="Arial" w:hAnsi="Arial" w:cs="Arial"/>
                <w:sz w:val="16"/>
                <w:szCs w:val="18"/>
              </w:rPr>
              <w:t xml:space="preserve"> indicates the entry number of the first-listed band with UL in the band combination that switches together with this UL.</w:t>
            </w:r>
          </w:p>
          <w:p w14:paraId="6CDB77C5" w14:textId="5E74809B" w:rsidR="00EE3294" w:rsidRPr="0061709C" w:rsidRDefault="00EE3294" w:rsidP="0061709C">
            <w:pPr>
              <w:pStyle w:val="TAL"/>
              <w:spacing w:after="60"/>
            </w:pPr>
            <w:r w:rsidRPr="006D696C">
              <w:rPr>
                <w:sz w:val="16"/>
              </w:rPr>
              <w:t xml:space="preserve">For </w:t>
            </w:r>
            <w:r w:rsidRPr="006D696C">
              <w:rPr>
                <w:i/>
                <w:sz w:val="16"/>
              </w:rPr>
              <w:t>txSwitchImpactToRx</w:t>
            </w:r>
            <w:r w:rsidRPr="006D696C">
              <w:rPr>
                <w:sz w:val="16"/>
              </w:rPr>
              <w:t xml:space="preserve"> and </w:t>
            </w:r>
            <w:r w:rsidRPr="006D696C">
              <w:rPr>
                <w:i/>
                <w:sz w:val="16"/>
              </w:rPr>
              <w:t>txSwitchWithAnotherBand</w:t>
            </w:r>
            <w:r w:rsidRPr="006D696C">
              <w:rPr>
                <w:sz w:val="16"/>
              </w:rPr>
              <w:t>, value 1 means first entry, value 2 means second entry and so on. All DL and UL that switch together indicate the same entry number.</w:t>
            </w:r>
          </w:p>
        </w:tc>
      </w:tr>
    </w:tbl>
    <w:p w14:paraId="5D9FCACD" w14:textId="77777777" w:rsidR="00EE3294" w:rsidRDefault="00EE3294" w:rsidP="00DC6419">
      <w:pPr>
        <w:rPr>
          <w:lang w:val="en-GB" w:eastAsia="en-US"/>
        </w:rPr>
      </w:pPr>
    </w:p>
    <w:p w14:paraId="12B385AF" w14:textId="41E5D765" w:rsidR="00E202BC" w:rsidRPr="00E202BC" w:rsidRDefault="00EE3294" w:rsidP="00E202BC">
      <w:pPr>
        <w:jc w:val="both"/>
        <w:rPr>
          <w:lang w:val="en-GB"/>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af0"/>
        <w:rPr>
          <w:lang w:val="en-GB" w:eastAsia="en-US"/>
        </w:rPr>
      </w:pPr>
      <w:bookmarkStart w:id="3"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3"/>
      <w:r w:rsidR="00FA58D1" w:rsidRPr="006D696C">
        <w:rPr>
          <w:lang w:val="en-GB" w:eastAsia="en-US"/>
        </w:rPr>
        <w:t>.</w:t>
      </w:r>
    </w:p>
    <w:p w14:paraId="24754316" w14:textId="77777777" w:rsidR="00DC6419" w:rsidRPr="00DC6419" w:rsidRDefault="00DC6419" w:rsidP="00DC6419">
      <w:pPr>
        <w:rPr>
          <w:lang w:val="en-GB" w:eastAsia="en-US"/>
        </w:rPr>
      </w:pPr>
    </w:p>
    <w:p w14:paraId="0C5D24B5" w14:textId="6C6DD363" w:rsidR="009B0081" w:rsidRDefault="009B0081" w:rsidP="009B0081">
      <w:pPr>
        <w:pStyle w:val="2"/>
      </w:pPr>
      <w:r>
        <w:t xml:space="preserve">2.3 </w:t>
      </w:r>
      <w:r w:rsidR="00B02977">
        <w:t>Fast</w:t>
      </w:r>
      <w:r>
        <w:t xml:space="preserve"> </w:t>
      </w:r>
      <w:r w:rsidR="00C14D2A">
        <w:t xml:space="preserve">DCI-based </w:t>
      </w:r>
      <w:r>
        <w:t>BWP switch in FR2</w:t>
      </w:r>
    </w:p>
    <w:p w14:paraId="7E0FE81F" w14:textId="157BFFD7"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CN"/>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5480BE29" w14:textId="22040C6B" w:rsidR="00E202BC" w:rsidRPr="00E202BC" w:rsidRDefault="00C14D2A" w:rsidP="00E202BC">
      <w:pPr>
        <w:jc w:val="both"/>
        <w:rPr>
          <w:sz w:val="20"/>
          <w:szCs w:val="20"/>
          <w:lang w:val="en-GB"/>
        </w:rPr>
      </w:pPr>
      <w:r w:rsidRPr="00E202BC">
        <w:rPr>
          <w:sz w:val="20"/>
          <w:szCs w:val="20"/>
          <w:lang w:val="en-GB"/>
        </w:rPr>
        <w:t xml:space="preserve">According to current requirements, UE is not required to receive or transmit signals during the switch delay on a carrier which BWP switch occurs. </w:t>
      </w:r>
      <w:r w:rsidR="002D06A4" w:rsidRPr="00E202BC">
        <w:rPr>
          <w:sz w:val="20"/>
          <w:szCs w:val="20"/>
          <w:lang w:val="en-GB"/>
        </w:rPr>
        <w:t xml:space="preserve">That means for 60KHz and 120KHz SCS, there </w:t>
      </w:r>
      <w:r w:rsidR="007E262B" w:rsidRPr="00E202BC">
        <w:rPr>
          <w:sz w:val="20"/>
          <w:szCs w:val="20"/>
          <w:lang w:val="en-GB"/>
        </w:rPr>
        <w:t>are</w:t>
      </w:r>
      <w:r w:rsidR="002D06A4" w:rsidRPr="00E202BC">
        <w:rPr>
          <w:sz w:val="20"/>
          <w:szCs w:val="20"/>
          <w:lang w:val="en-GB"/>
        </w:rPr>
        <w:t xml:space="preserve"> going be 8 and 17 slots service </w:t>
      </w:r>
      <w:r w:rsidR="00BA1049" w:rsidRPr="00E202BC">
        <w:rPr>
          <w:sz w:val="20"/>
          <w:szCs w:val="20"/>
          <w:lang w:val="en-GB"/>
        </w:rPr>
        <w:t xml:space="preserve">suspended </w:t>
      </w:r>
      <w:r w:rsidR="002D06A4" w:rsidRPr="00E202BC">
        <w:rPr>
          <w:sz w:val="20"/>
          <w:szCs w:val="20"/>
          <w:lang w:val="en-GB"/>
        </w:rPr>
        <w:t xml:space="preserve">during BWP switch, respectively. These intervals of zero throughput </w:t>
      </w:r>
      <w:r w:rsidR="00E732C9" w:rsidRPr="00E202BC">
        <w:rPr>
          <w:sz w:val="20"/>
          <w:szCs w:val="20"/>
          <w:lang w:val="en-GB"/>
        </w:rPr>
        <w:t>on carrier</w:t>
      </w:r>
      <w:r w:rsidR="00314AE4" w:rsidRPr="00E202BC">
        <w:rPr>
          <w:sz w:val="20"/>
          <w:szCs w:val="20"/>
          <w:lang w:val="en-GB"/>
        </w:rPr>
        <w:t>s</w:t>
      </w:r>
      <w:r w:rsidR="00E732C9" w:rsidRPr="00E202BC">
        <w:rPr>
          <w:sz w:val="20"/>
          <w:szCs w:val="20"/>
          <w:lang w:val="en-GB"/>
        </w:rPr>
        <w:t xml:space="preserve"> which BWP switch occurs </w:t>
      </w:r>
      <w:r w:rsidR="002D06A4" w:rsidRPr="00E202BC">
        <w:rPr>
          <w:sz w:val="20"/>
          <w:szCs w:val="20"/>
          <w:lang w:val="en-GB"/>
        </w:rPr>
        <w:t xml:space="preserve">is illustrated in </w:t>
      </w:r>
      <w:r w:rsidR="002D06A4" w:rsidRPr="00E202BC">
        <w:rPr>
          <w:sz w:val="20"/>
          <w:szCs w:val="20"/>
          <w:lang w:val="en-GB"/>
        </w:rPr>
        <w:fldChar w:fldCharType="begin"/>
      </w:r>
      <w:r w:rsidR="002D06A4" w:rsidRPr="00E202BC">
        <w:rPr>
          <w:sz w:val="20"/>
          <w:szCs w:val="20"/>
          <w:lang w:val="en-GB"/>
        </w:rPr>
        <w:instrText xml:space="preserve"> REF _Ref31822825 \h </w:instrText>
      </w:r>
      <w:r w:rsidR="006D696C" w:rsidRPr="00E202BC">
        <w:rPr>
          <w:sz w:val="20"/>
          <w:szCs w:val="20"/>
          <w:lang w:val="en-GB"/>
        </w:rPr>
        <w:instrText xml:space="preserve"> \* MERGEFORMAT </w:instrText>
      </w:r>
      <w:r w:rsidR="002D06A4" w:rsidRPr="00E202BC">
        <w:rPr>
          <w:sz w:val="20"/>
          <w:szCs w:val="20"/>
          <w:lang w:val="en-GB"/>
        </w:rPr>
      </w:r>
      <w:r w:rsidR="002D06A4" w:rsidRPr="00E202BC">
        <w:rPr>
          <w:sz w:val="20"/>
          <w:szCs w:val="20"/>
          <w:lang w:val="en-GB"/>
        </w:rPr>
        <w:fldChar w:fldCharType="separate"/>
      </w:r>
      <w:r w:rsidR="00451134" w:rsidRPr="00451134">
        <w:rPr>
          <w:sz w:val="20"/>
          <w:szCs w:val="20"/>
        </w:rPr>
        <w:t xml:space="preserve">Figure </w:t>
      </w:r>
      <w:r w:rsidR="00451134" w:rsidRPr="00451134">
        <w:rPr>
          <w:noProof/>
          <w:sz w:val="20"/>
          <w:szCs w:val="20"/>
        </w:rPr>
        <w:t>2</w:t>
      </w:r>
      <w:r w:rsidR="002D06A4" w:rsidRPr="00E202BC">
        <w:rPr>
          <w:sz w:val="20"/>
          <w:szCs w:val="20"/>
          <w:lang w:val="en-GB"/>
        </w:rPr>
        <w:fldChar w:fldCharType="end"/>
      </w:r>
      <w:r w:rsidR="002D06A4" w:rsidRPr="00E202BC">
        <w:rPr>
          <w:sz w:val="20"/>
          <w:szCs w:val="20"/>
          <w:lang w:val="en-GB"/>
        </w:rPr>
        <w:t>. These intervals of zero throughput are obvious not desirable for the system. It is worthwhile to study the possibility of some enhancement to reduce the throughput loss</w:t>
      </w:r>
      <w:r w:rsidR="00B02977" w:rsidRPr="00E202BC">
        <w:rPr>
          <w:sz w:val="20"/>
          <w:szCs w:val="20"/>
          <w:lang w:val="en-GB"/>
        </w:rPr>
        <w:t xml:space="preserve"> by having shorter switch delay</w:t>
      </w:r>
      <w:r w:rsidR="002D06A4" w:rsidRPr="00E202BC">
        <w:rPr>
          <w:sz w:val="20"/>
          <w:szCs w:val="20"/>
          <w:lang w:val="en-GB"/>
        </w:rPr>
        <w:t xml:space="preserve">. </w:t>
      </w:r>
    </w:p>
    <w:p w14:paraId="099021F9" w14:textId="2CBE3FC5" w:rsidR="00B02977" w:rsidRPr="006D696C" w:rsidRDefault="00B02977" w:rsidP="0021785F">
      <w:pPr>
        <w:pStyle w:val="af0"/>
        <w:jc w:val="both"/>
        <w:rPr>
          <w:rFonts w:eastAsia="PMingLiU"/>
          <w:lang w:val="en-GB" w:eastAsia="zh-TW"/>
        </w:rPr>
      </w:pPr>
      <w:bookmarkStart w:id="4"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3</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4"/>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rPr>
        <w:lastRenderedPageBreak/>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af0"/>
        <w:jc w:val="center"/>
        <w:rPr>
          <w:lang w:val="en-US" w:eastAsia="en-US"/>
        </w:rPr>
      </w:pPr>
      <w:bookmarkStart w:id="5"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2</w:t>
      </w:r>
      <w:r w:rsidR="00387496">
        <w:rPr>
          <w:noProof/>
        </w:rPr>
        <w:fldChar w:fldCharType="end"/>
      </w:r>
      <w:bookmarkEnd w:id="5"/>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0163BE93" w:rsidR="009B0081" w:rsidRDefault="009B0081" w:rsidP="009B0081">
      <w:pPr>
        <w:pStyle w:val="2"/>
      </w:pPr>
      <w:r>
        <w:t>2.4 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af4"/>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2.5pt" o:ole="">
                  <v:imagedata r:id="rId12" o:title=""/>
                </v:shape>
                <o:OLEObject Type="Embed" ProgID="Equation.3" ShapeID="_x0000_i1025" DrawAspect="Content" ObjectID="_1650993650"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5FB811C7"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451134" w:rsidRPr="00451134">
        <w:rPr>
          <w:sz w:val="20"/>
          <w:szCs w:val="20"/>
        </w:rPr>
        <w:t xml:space="preserve">Figure </w:t>
      </w:r>
      <w:r w:rsidR="00451134" w:rsidRPr="00451134">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af0"/>
        <w:jc w:val="center"/>
        <w:rPr>
          <w:lang w:val="en-GB" w:eastAsia="en-US"/>
        </w:rPr>
      </w:pPr>
      <w:bookmarkStart w:id="6"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451134">
        <w:rPr>
          <w:noProof/>
        </w:rPr>
        <w:t>3</w:t>
      </w:r>
      <w:r w:rsidR="00387496">
        <w:rPr>
          <w:noProof/>
        </w:rPr>
        <w:fldChar w:fldCharType="end"/>
      </w:r>
      <w:bookmarkEnd w:id="6"/>
      <w:r>
        <w:t xml:space="preserve"> UL slots partially overlapped by measurement gap</w:t>
      </w:r>
    </w:p>
    <w:p w14:paraId="6A92C034" w14:textId="77777777" w:rsidR="00202921" w:rsidRDefault="00202921" w:rsidP="008756B2">
      <w:pPr>
        <w:jc w:val="both"/>
        <w:rPr>
          <w:lang w:val="en-GB" w:eastAsia="en-US"/>
        </w:rPr>
      </w:pPr>
    </w:p>
    <w:p w14:paraId="7ECC0456" w14:textId="35FDE9C2" w:rsidR="00202921" w:rsidRPr="00E202BC" w:rsidRDefault="0060584A" w:rsidP="00E202BC">
      <w:pPr>
        <w:jc w:val="both"/>
        <w:rPr>
          <w:sz w:val="20"/>
          <w:szCs w:val="20"/>
          <w:lang w:val="en-GB" w:eastAsia="en-US"/>
        </w:rPr>
      </w:pPr>
      <w:r w:rsidRPr="006D696C">
        <w:rPr>
          <w:sz w:val="20"/>
          <w:szCs w:val="20"/>
          <w:lang w:val="en-GB" w:eastAsia="en-US"/>
        </w:rPr>
        <w:lastRenderedPageBreak/>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w:t>
      </w:r>
      <w:r w:rsidR="00254B5E" w:rsidRPr="00E202BC">
        <w:rPr>
          <w:sz w:val="20"/>
          <w:szCs w:val="20"/>
        </w:rPr>
        <w:t xml:space="preserve"> </w:t>
      </w:r>
    </w:p>
    <w:p w14:paraId="1ECE0969" w14:textId="567B7960" w:rsidR="008756B2" w:rsidRPr="006D696C" w:rsidRDefault="00254B5E" w:rsidP="00254B5E">
      <w:pPr>
        <w:pStyle w:val="af0"/>
        <w:rPr>
          <w:lang w:val="en-GB" w:eastAsia="en-US"/>
        </w:rPr>
      </w:pPr>
      <w:bookmarkStart w:id="7"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451134">
        <w:rPr>
          <w:noProof/>
        </w:rPr>
        <w:t>4</w:t>
      </w:r>
      <w:r w:rsidR="00387496">
        <w:rPr>
          <w:noProof/>
        </w:rPr>
        <w:fldChar w:fldCharType="end"/>
      </w:r>
      <w:r w:rsidRPr="006D696C">
        <w:t>: Study the method to enhance the utilization of UL slots or symbols before and after measurement gap</w:t>
      </w:r>
      <w:bookmarkEnd w:id="7"/>
      <w:r w:rsidR="00FA58D1" w:rsidRPr="006D696C">
        <w:t>.</w:t>
      </w:r>
    </w:p>
    <w:p w14:paraId="397420CE" w14:textId="670AAD93" w:rsidR="0001556B" w:rsidRDefault="0001556B" w:rsidP="0001556B">
      <w:pPr>
        <w:pStyle w:val="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637499D2" w:rsidR="006B02A5" w:rsidRPr="00FF5894" w:rsidRDefault="00CA2D32" w:rsidP="004827BA">
      <w:pPr>
        <w:pStyle w:val="af3"/>
        <w:numPr>
          <w:ilvl w:val="0"/>
          <w:numId w:val="21"/>
        </w:numPr>
        <w:spacing w:after="120" w:line="240" w:lineRule="auto"/>
        <w:contextualSpacing w:val="0"/>
        <w:jc w:val="both"/>
        <w:rPr>
          <w:kern w:val="24"/>
          <w:sz w:val="20"/>
          <w:szCs w:val="20"/>
        </w:rPr>
      </w:pPr>
      <w:r>
        <w:rPr>
          <w:kern w:val="24"/>
          <w:sz w:val="20"/>
          <w:szCs w:val="20"/>
        </w:rPr>
        <w:t xml:space="preserve">Active </w:t>
      </w:r>
      <w:r w:rsidR="00980E2E" w:rsidRPr="00FF5894">
        <w:rPr>
          <w:kern w:val="24"/>
          <w:sz w:val="20"/>
          <w:szCs w:val="20"/>
        </w:rPr>
        <w:t xml:space="preserve">TCI-state switch </w:t>
      </w:r>
      <w:r w:rsidRPr="00FF5894">
        <w:rPr>
          <w:kern w:val="24"/>
          <w:sz w:val="20"/>
          <w:szCs w:val="20"/>
        </w:rPr>
        <w:t xml:space="preserve">for CSI reporting </w:t>
      </w:r>
      <w:r>
        <w:rPr>
          <w:kern w:val="24"/>
          <w:sz w:val="20"/>
          <w:szCs w:val="20"/>
        </w:rPr>
        <w:t>via</w:t>
      </w:r>
      <w:r w:rsidR="00980E2E" w:rsidRPr="00FF5894">
        <w:rPr>
          <w:kern w:val="24"/>
          <w:sz w:val="20"/>
          <w:szCs w:val="20"/>
        </w:rPr>
        <w:t xml:space="preserve"> CSI-RS</w:t>
      </w:r>
      <w:r>
        <w:rPr>
          <w:kern w:val="24"/>
          <w:sz w:val="20"/>
          <w:szCs w:val="20"/>
        </w:rPr>
        <w:t xml:space="preserve"> reconfiguration</w:t>
      </w:r>
      <w:r w:rsidR="00980E2E" w:rsidRPr="00FF5894">
        <w:rPr>
          <w:kern w:val="24"/>
          <w:sz w:val="20"/>
          <w:szCs w:val="20"/>
        </w:rPr>
        <w:t xml:space="preserve"> </w:t>
      </w:r>
    </w:p>
    <w:p w14:paraId="5175D724" w14:textId="0B3DEB7A" w:rsidR="00E263C3" w:rsidRPr="00FF5894" w:rsidRDefault="00100836" w:rsidP="004827BA">
      <w:pPr>
        <w:pStyle w:val="af3"/>
        <w:numPr>
          <w:ilvl w:val="1"/>
          <w:numId w:val="21"/>
        </w:numPr>
        <w:spacing w:after="120" w:line="240" w:lineRule="auto"/>
        <w:contextualSpacing w:val="0"/>
        <w:jc w:val="both"/>
        <w:rPr>
          <w:kern w:val="24"/>
          <w:sz w:val="20"/>
          <w:szCs w:val="20"/>
        </w:rPr>
      </w:pPr>
      <w:r w:rsidRPr="00FF5894">
        <w:rPr>
          <w:kern w:val="24"/>
          <w:sz w:val="20"/>
          <w:szCs w:val="20"/>
        </w:rPr>
        <w:t xml:space="preserve">Introduce the delay requirements for </w:t>
      </w:r>
      <w:r w:rsidR="00CA2D32">
        <w:rPr>
          <w:kern w:val="24"/>
          <w:sz w:val="20"/>
          <w:szCs w:val="20"/>
        </w:rPr>
        <w:t xml:space="preserve">active </w:t>
      </w:r>
      <w:r w:rsidRPr="00FF5894">
        <w:rPr>
          <w:kern w:val="24"/>
          <w:sz w:val="20"/>
          <w:szCs w:val="20"/>
        </w:rPr>
        <w:t>TCI-state switch for CSI reporting</w:t>
      </w:r>
      <w:r w:rsidR="00CA2D32">
        <w:rPr>
          <w:kern w:val="24"/>
          <w:sz w:val="20"/>
          <w:szCs w:val="20"/>
        </w:rPr>
        <w:t xml:space="preserve"> via </w:t>
      </w:r>
      <w:r w:rsidR="00CA2D32" w:rsidRPr="00FF5894">
        <w:rPr>
          <w:kern w:val="24"/>
          <w:sz w:val="20"/>
          <w:szCs w:val="20"/>
        </w:rPr>
        <w:t>CSI-RS</w:t>
      </w:r>
      <w:r w:rsidR="00E263C3" w:rsidRPr="00FF5894">
        <w:rPr>
          <w:kern w:val="24"/>
          <w:sz w:val="20"/>
          <w:szCs w:val="20"/>
        </w:rPr>
        <w:t>, including</w:t>
      </w:r>
    </w:p>
    <w:p w14:paraId="08E0D223" w14:textId="5DB43E3E" w:rsidR="00E263C3" w:rsidRPr="00FF5894" w:rsidRDefault="00E263C3" w:rsidP="004827BA">
      <w:pPr>
        <w:pStyle w:val="af3"/>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af3"/>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af3"/>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af3"/>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0570309E" w:rsidR="00FF5894" w:rsidRPr="00FF5894" w:rsidRDefault="00FF5894" w:rsidP="004827BA">
      <w:pPr>
        <w:pStyle w:val="af3"/>
        <w:numPr>
          <w:ilvl w:val="1"/>
          <w:numId w:val="21"/>
        </w:numPr>
        <w:spacing w:after="120" w:line="240" w:lineRule="auto"/>
        <w:contextualSpacing w:val="0"/>
        <w:jc w:val="both"/>
        <w:rPr>
          <w:kern w:val="24"/>
          <w:sz w:val="20"/>
          <w:szCs w:val="20"/>
        </w:rPr>
      </w:pPr>
      <w:r w:rsidRPr="00FF5894">
        <w:rPr>
          <w:kern w:val="24"/>
          <w:sz w:val="20"/>
          <w:szCs w:val="20"/>
        </w:rPr>
        <w:t xml:space="preserve">Introduce the interruption requirements due to SRS antenna switch </w:t>
      </w:r>
      <w:r w:rsidR="00E202BC">
        <w:rPr>
          <w:kern w:val="24"/>
          <w:sz w:val="20"/>
          <w:szCs w:val="20"/>
        </w:rPr>
        <w:t xml:space="preserve">in </w:t>
      </w:r>
      <w:r w:rsidR="00E202BC">
        <w:rPr>
          <w:sz w:val="20"/>
          <w:szCs w:val="20"/>
          <w:lang w:val="en-GB"/>
        </w:rPr>
        <w:t xml:space="preserve">NR SA and MR-DC </w:t>
      </w:r>
      <w:r w:rsidRPr="00FF5894">
        <w:rPr>
          <w:kern w:val="24"/>
          <w:sz w:val="20"/>
          <w:szCs w:val="20"/>
        </w:rPr>
        <w:t>for the following cases</w:t>
      </w:r>
    </w:p>
    <w:p w14:paraId="29032A83" w14:textId="183DD232" w:rsidR="00FF5894" w:rsidRPr="00142E3D" w:rsidRDefault="00FF5894" w:rsidP="004827BA">
      <w:pPr>
        <w:pStyle w:val="af3"/>
        <w:numPr>
          <w:ilvl w:val="2"/>
          <w:numId w:val="21"/>
        </w:numPr>
        <w:spacing w:after="120" w:line="240" w:lineRule="auto"/>
        <w:contextualSpacing w:val="0"/>
        <w:jc w:val="both"/>
        <w:rPr>
          <w:kern w:val="24"/>
          <w:sz w:val="20"/>
          <w:szCs w:val="20"/>
        </w:rPr>
      </w:pPr>
      <w:r w:rsidRPr="00142E3D">
        <w:rPr>
          <w:kern w:val="24"/>
          <w:sz w:val="20"/>
          <w:szCs w:val="20"/>
        </w:rPr>
        <w:t xml:space="preserve">NR SRS </w:t>
      </w:r>
      <w:r w:rsidR="00CA2D32">
        <w:rPr>
          <w:kern w:val="24"/>
          <w:sz w:val="20"/>
          <w:szCs w:val="20"/>
        </w:rPr>
        <w:t>antenna</w:t>
      </w:r>
      <w:r w:rsidR="00CA2D32" w:rsidRPr="00142E3D">
        <w:rPr>
          <w:kern w:val="24"/>
          <w:sz w:val="20"/>
          <w:szCs w:val="20"/>
        </w:rPr>
        <w:t xml:space="preserve"> </w:t>
      </w:r>
      <w:r w:rsidRPr="00142E3D">
        <w:rPr>
          <w:kern w:val="24"/>
          <w:sz w:val="20"/>
          <w:szCs w:val="20"/>
        </w:rPr>
        <w:t>switching impacting LTE CC</w:t>
      </w:r>
    </w:p>
    <w:p w14:paraId="056564ED" w14:textId="16B59857" w:rsidR="00FF5894" w:rsidRPr="00FF5894" w:rsidRDefault="00FF5894" w:rsidP="004827BA">
      <w:pPr>
        <w:pStyle w:val="af3"/>
        <w:numPr>
          <w:ilvl w:val="2"/>
          <w:numId w:val="21"/>
        </w:numPr>
        <w:spacing w:before="120" w:after="180" w:line="240" w:lineRule="auto"/>
        <w:contextualSpacing w:val="0"/>
        <w:jc w:val="both"/>
        <w:rPr>
          <w:sz w:val="20"/>
          <w:szCs w:val="20"/>
          <w:lang w:val="x-none" w:eastAsia="x-none"/>
        </w:rPr>
      </w:pPr>
      <w:r w:rsidRPr="00FF5894">
        <w:rPr>
          <w:kern w:val="24"/>
          <w:sz w:val="20"/>
          <w:szCs w:val="20"/>
        </w:rPr>
        <w:t xml:space="preserve">NR SRS </w:t>
      </w:r>
      <w:r w:rsidR="00CA2D32">
        <w:rPr>
          <w:kern w:val="24"/>
          <w:sz w:val="20"/>
          <w:szCs w:val="20"/>
        </w:rPr>
        <w:t>antenna</w:t>
      </w:r>
      <w:r w:rsidR="00CA2D32" w:rsidRPr="00FF5894">
        <w:rPr>
          <w:kern w:val="24"/>
          <w:sz w:val="20"/>
          <w:szCs w:val="20"/>
        </w:rPr>
        <w:t xml:space="preserve"> </w:t>
      </w:r>
      <w:r w:rsidRPr="00FF5894">
        <w:rPr>
          <w:kern w:val="24"/>
          <w:sz w:val="20"/>
          <w:szCs w:val="20"/>
        </w:rPr>
        <w:t>switching impacting NR CC</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af3"/>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af3"/>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af3"/>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af3"/>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af3"/>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af3"/>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af3"/>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77A35DCE" w14:textId="5DDA49ED" w:rsidR="00E202BC" w:rsidRDefault="00E202BC" w:rsidP="00721350">
      <w:pPr>
        <w:pStyle w:val="af3"/>
        <w:numPr>
          <w:ilvl w:val="2"/>
          <w:numId w:val="24"/>
        </w:numPr>
        <w:spacing w:after="120" w:line="240" w:lineRule="auto"/>
        <w:contextualSpacing w:val="0"/>
        <w:jc w:val="both"/>
        <w:rPr>
          <w:kern w:val="24"/>
          <w:sz w:val="20"/>
          <w:szCs w:val="20"/>
        </w:rPr>
      </w:pPr>
      <w:r>
        <w:rPr>
          <w:kern w:val="24"/>
          <w:sz w:val="20"/>
          <w:szCs w:val="20"/>
        </w:rPr>
        <w:t xml:space="preserve">The study should </w:t>
      </w:r>
      <w:r w:rsidR="00466BC5">
        <w:rPr>
          <w:kern w:val="24"/>
          <w:sz w:val="20"/>
          <w:szCs w:val="20"/>
        </w:rPr>
        <w:t xml:space="preserve">consider </w:t>
      </w:r>
      <w:r>
        <w:rPr>
          <w:kern w:val="24"/>
          <w:sz w:val="20"/>
          <w:szCs w:val="20"/>
        </w:rPr>
        <w:t>the frequency</w:t>
      </w:r>
      <w:r w:rsidR="00451134">
        <w:rPr>
          <w:kern w:val="24"/>
          <w:sz w:val="20"/>
          <w:szCs w:val="20"/>
        </w:rPr>
        <w:t>,</w:t>
      </w:r>
      <w:r>
        <w:rPr>
          <w:kern w:val="24"/>
          <w:sz w:val="20"/>
          <w:szCs w:val="20"/>
        </w:rPr>
        <w:t xml:space="preserve"> </w:t>
      </w:r>
      <w:r>
        <w:rPr>
          <w:sz w:val="20"/>
          <w:szCs w:val="20"/>
        </w:rPr>
        <w:t>accuracy</w:t>
      </w:r>
      <w:r w:rsidR="00466BC5">
        <w:rPr>
          <w:sz w:val="20"/>
          <w:szCs w:val="20"/>
        </w:rPr>
        <w:t xml:space="preserve"> and </w:t>
      </w:r>
      <w:r>
        <w:rPr>
          <w:sz w:val="20"/>
          <w:szCs w:val="20"/>
        </w:rPr>
        <w:t>granularity</w:t>
      </w:r>
      <w:r>
        <w:rPr>
          <w:kern w:val="24"/>
          <w:sz w:val="20"/>
          <w:szCs w:val="20"/>
        </w:rPr>
        <w:t xml:space="preserve"> for UE to reporting this timing difference</w:t>
      </w:r>
      <w:r>
        <w:rPr>
          <w:sz w:val="20"/>
          <w:szCs w:val="20"/>
        </w:rPr>
        <w:t>.</w:t>
      </w:r>
    </w:p>
    <w:p w14:paraId="1A440CA7" w14:textId="50F14335" w:rsidR="00721350" w:rsidRPr="00721350" w:rsidRDefault="00721350" w:rsidP="00721350">
      <w:pPr>
        <w:pStyle w:val="af3"/>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1"/>
        <w:numPr>
          <w:ilvl w:val="0"/>
          <w:numId w:val="1"/>
        </w:numPr>
        <w:rPr>
          <w:rFonts w:ascii="Calibri" w:hAnsi="Calibri"/>
          <w:lang w:eastAsia="zh-CN"/>
        </w:rPr>
      </w:pPr>
      <w:r>
        <w:rPr>
          <w:rFonts w:ascii="Calibri" w:hAnsi="Calibri"/>
        </w:rPr>
        <w:lastRenderedPageBreak/>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1EC467DA"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 xml:space="preserve">Scope 1: </w:t>
      </w:r>
      <w:r w:rsidR="00451134" w:rsidRPr="00451134">
        <w:rPr>
          <w:rFonts w:hint="eastAsia"/>
          <w:b/>
          <w:sz w:val="20"/>
          <w:szCs w:val="20"/>
          <w:lang w:val="x-none" w:eastAsia="x-none"/>
        </w:rPr>
        <w:t>In</w:t>
      </w:r>
      <w:r w:rsidR="00451134" w:rsidRPr="00451134">
        <w:rPr>
          <w:b/>
          <w:sz w:val="20"/>
          <w:szCs w:val="20"/>
          <w:lang w:val="x-none" w:eastAsia="x-none"/>
        </w:rPr>
        <w:t>troduce UE requirements for TCI state switch for CSI reporting via CSI-RS reconfiguration.</w:t>
      </w:r>
      <w:r w:rsidRPr="006D696C">
        <w:rPr>
          <w:b/>
          <w:sz w:val="20"/>
          <w:szCs w:val="20"/>
          <w:lang w:val="x-none" w:eastAsia="x-none"/>
        </w:rPr>
        <w:fldChar w:fldCharType="end"/>
      </w:r>
    </w:p>
    <w:p w14:paraId="4576EC51" w14:textId="26CBB6B0"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126B61DA" w14:textId="3A3701BD"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3: Study the feasibility to introduce a shorter DCI-based BWP switch delay for FR2. Introduce the corresponding requirement, if concluded feasible.</w:t>
      </w:r>
      <w:r w:rsidRPr="006D696C">
        <w:rPr>
          <w:b/>
          <w:sz w:val="20"/>
          <w:szCs w:val="20"/>
          <w:lang w:val="x-none" w:eastAsia="x-none"/>
        </w:rPr>
        <w:fldChar w:fldCharType="end"/>
      </w:r>
    </w:p>
    <w:p w14:paraId="29E80270" w14:textId="0546424A"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451134" w:rsidRPr="00451134">
        <w:rPr>
          <w:b/>
          <w:sz w:val="20"/>
          <w:szCs w:val="20"/>
          <w:lang w:val="x-none" w:eastAsia="x-none"/>
        </w:rPr>
        <w:t>Scope 4: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6116392C" w14:textId="77777777" w:rsidR="000744F7" w:rsidRPr="007F5072" w:rsidRDefault="000744F7" w:rsidP="000744F7">
      <w:pPr>
        <w:adjustRightInd w:val="0"/>
        <w:snapToGrid w:val="0"/>
        <w:spacing w:before="180" w:after="120"/>
        <w:jc w:val="both"/>
        <w:rPr>
          <w:b/>
          <w:sz w:val="20"/>
          <w:szCs w:val="20"/>
          <w:lang w:eastAsia="x-none"/>
        </w:rPr>
      </w:pPr>
    </w:p>
    <w:p w14:paraId="2C9C458C" w14:textId="5FB048DB" w:rsidR="000744F7" w:rsidRDefault="000744F7" w:rsidP="000744F7">
      <w:pPr>
        <w:pStyle w:val="1"/>
        <w:numPr>
          <w:ilvl w:val="0"/>
          <w:numId w:val="1"/>
        </w:numPr>
        <w:rPr>
          <w:rFonts w:ascii="Calibri" w:hAnsi="Calibri"/>
        </w:rPr>
      </w:pPr>
      <w:r>
        <w:rPr>
          <w:rFonts w:ascii="Calibri" w:hAnsi="Calibri"/>
        </w:rPr>
        <w:lastRenderedPageBreak/>
        <w:t>Appendix</w:t>
      </w:r>
    </w:p>
    <w:tbl>
      <w:tblPr>
        <w:tblStyle w:val="af4"/>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4"/>
              <w:rPr>
                <w:rFonts w:ascii="Times New Roman" w:hAnsi="Times New Roman"/>
                <w:color w:val="000000"/>
                <w:sz w:val="18"/>
              </w:rPr>
            </w:pPr>
            <w:bookmarkStart w:id="8"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8"/>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9" w:name="_Hlk493885834"/>
            <w:r w:rsidRPr="00607D5E">
              <w:rPr>
                <w:rFonts w:ascii="Times New Roman" w:eastAsia="Malgun Gothic" w:hAnsi="Times New Roman" w:cs="Times New Roman"/>
                <w:i/>
                <w:iCs/>
                <w:color w:val="000000"/>
                <w:sz w:val="18"/>
                <w:lang w:eastAsia="zh-CN"/>
              </w:rPr>
              <w:t>aperiodicSRS-ResourceTrigger</w:t>
            </w:r>
            <w:bookmarkEnd w:id="9"/>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65pt;height:12.5pt;mso-position-horizontal-relative:page;mso-position-vertical-relative:page" o:ole="">
                        <v:imagedata r:id="rId15" o:title=""/>
                      </v:shape>
                      <o:OLEObject Type="Embed" ProgID="Equation.3" ShapeID="对象 261" DrawAspect="Content" ObjectID="_1650993651" r:id="rId16"/>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7pt;height:16.9pt;mso-position-horizontal-relative:page;mso-position-vertical-relative:page" o:ole="">
                        <v:imagedata r:id="rId17" o:title=""/>
                      </v:shape>
                      <o:OLEObject Type="Embed" ProgID="Equation.3" ShapeID="对象 262" DrawAspect="Content" ObjectID="_1650993652" r:id="rId18"/>
                    </w:object>
                  </w:r>
                </w:p>
              </w:tc>
              <w:tc>
                <w:tcPr>
                  <w:tcW w:w="1843" w:type="dxa"/>
                  <w:vAlign w:val="center"/>
                </w:tcPr>
                <w:p w14:paraId="46118D3E" w14:textId="77777777" w:rsidR="000744F7" w:rsidRPr="00607D5E" w:rsidRDefault="000744F7" w:rsidP="008F6AD9">
                  <w:pPr>
                    <w:pStyle w:val="TAH"/>
                    <w:spacing w:after="0"/>
                    <w:rPr>
                      <w:rFonts w:ascii="Times New Roman" w:eastAsia="宋体" w:hAnsi="Times New Roman" w:cs="Times New Roman"/>
                      <w:lang w:eastAsia="zh-CN"/>
                    </w:rPr>
                  </w:pPr>
                  <w:r w:rsidRPr="00607D5E">
                    <w:rPr>
                      <w:rFonts w:ascii="Times New Roman" w:eastAsia="宋体" w:hAnsi="Times New Roman" w:cs="Times New Roman"/>
                      <w:i/>
                      <w:lang w:val="en-US" w:eastAsia="zh-CN"/>
                    </w:rPr>
                    <w:t>Y</w:t>
                  </w:r>
                  <w:r w:rsidRPr="00607D5E">
                    <w:rPr>
                      <w:rFonts w:ascii="Times New Roman" w:eastAsia="宋体"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1C365" w14:textId="77777777" w:rsidR="00116885" w:rsidRDefault="00116885">
      <w:r>
        <w:separator/>
      </w:r>
    </w:p>
  </w:endnote>
  <w:endnote w:type="continuationSeparator" w:id="0">
    <w:p w14:paraId="2754AC72" w14:textId="77777777" w:rsidR="00116885" w:rsidRDefault="0011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B6F64" w14:textId="77777777" w:rsidR="00116885" w:rsidRDefault="00116885">
      <w:r>
        <w:separator/>
      </w:r>
    </w:p>
  </w:footnote>
  <w:footnote w:type="continuationSeparator" w:id="0">
    <w:p w14:paraId="43118FDE" w14:textId="77777777" w:rsidR="00116885" w:rsidRDefault="00116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3"/>
  </w:num>
  <w:num w:numId="4">
    <w:abstractNumId w:val="2"/>
  </w:num>
  <w:num w:numId="5">
    <w:abstractNumId w:val="11"/>
  </w:num>
  <w:num w:numId="6">
    <w:abstractNumId w:val="22"/>
  </w:num>
  <w:num w:numId="7">
    <w:abstractNumId w:val="17"/>
  </w:num>
  <w:num w:numId="8">
    <w:abstractNumId w:val="28"/>
  </w:num>
  <w:num w:numId="9">
    <w:abstractNumId w:val="20"/>
  </w:num>
  <w:num w:numId="10">
    <w:abstractNumId w:val="1"/>
  </w:num>
  <w:num w:numId="11">
    <w:abstractNumId w:val="6"/>
  </w:num>
  <w:num w:numId="12">
    <w:abstractNumId w:val="23"/>
  </w:num>
  <w:num w:numId="13">
    <w:abstractNumId w:val="19"/>
  </w:num>
  <w:num w:numId="14">
    <w:abstractNumId w:val="5"/>
  </w:num>
  <w:num w:numId="15">
    <w:abstractNumId w:val="8"/>
  </w:num>
  <w:num w:numId="16">
    <w:abstractNumId w:val="21"/>
  </w:num>
  <w:num w:numId="17">
    <w:abstractNumId w:val="12"/>
  </w:num>
  <w:num w:numId="18">
    <w:abstractNumId w:val="7"/>
  </w:num>
  <w:num w:numId="19">
    <w:abstractNumId w:val="13"/>
  </w:num>
  <w:num w:numId="20">
    <w:abstractNumId w:val="0"/>
  </w:num>
  <w:num w:numId="21">
    <w:abstractNumId w:val="10"/>
  </w:num>
  <w:num w:numId="22">
    <w:abstractNumId w:val="15"/>
  </w:num>
  <w:num w:numId="23">
    <w:abstractNumId w:val="9"/>
  </w:num>
  <w:num w:numId="24">
    <w:abstractNumId w:val="24"/>
  </w:num>
  <w:num w:numId="25">
    <w:abstractNumId w:val="18"/>
  </w:num>
  <w:num w:numId="26">
    <w:abstractNumId w:val="16"/>
  </w:num>
  <w:num w:numId="27">
    <w:abstractNumId w:val="4"/>
  </w:num>
  <w:num w:numId="28">
    <w:abstractNumId w:val="26"/>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AAD"/>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885"/>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A02"/>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7F8"/>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0CF7"/>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6F7CED"/>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079E8"/>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49A"/>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73E"/>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2BC"/>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9E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079E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79E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89083-8935-4868-B2C9-89ECEA53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2582</Words>
  <Characters>14720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2020-05-14T11:56:00Z</dcterms:created>
  <dcterms:modified xsi:type="dcterms:W3CDTF">2020-05-14T12:34:00Z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